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00.0" w:type="dxa"/>
        <w:jc w:val="left"/>
        <w:tblInd w:w="-432.0" w:type="dxa"/>
        <w:tblLayout w:type="fixed"/>
        <w:tblLook w:val="0000"/>
      </w:tblPr>
      <w:tblGrid>
        <w:gridCol w:w="15600"/>
        <w:tblGridChange w:id="0">
          <w:tblGrid>
            <w:gridCol w:w="15600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5744.0" w:type="dxa"/>
              <w:jc w:val="left"/>
              <w:tblLayout w:type="fixed"/>
              <w:tblLook w:val="0000"/>
            </w:tblPr>
            <w:tblGrid>
              <w:gridCol w:w="4855"/>
              <w:gridCol w:w="5247"/>
              <w:gridCol w:w="5642"/>
              <w:tblGridChange w:id="0">
                <w:tblGrid>
                  <w:gridCol w:w="4855"/>
                  <w:gridCol w:w="5247"/>
                  <w:gridCol w:w="564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lightGray"/>
                <w:u w:val="none"/>
                <w:vertAlign w:val="baseline"/>
                <w:rtl w:val="0"/>
              </w:rPr>
              <w:t xml:space="preserve">Disciplina:    MUSICA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in materia di consapevolezza ed espressione culturali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92"/>
        <w:gridCol w:w="1533"/>
        <w:gridCol w:w="1585"/>
        <w:gridCol w:w="1541"/>
        <w:gridCol w:w="1563"/>
        <w:gridCol w:w="9"/>
        <w:tblGridChange w:id="0">
          <w:tblGrid>
            <w:gridCol w:w="4347"/>
            <w:gridCol w:w="1710"/>
            <w:gridCol w:w="1533"/>
            <w:gridCol w:w="1592"/>
            <w:gridCol w:w="1533"/>
            <w:gridCol w:w="1585"/>
            <w:gridCol w:w="1541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Esplorare eventi sonori dal punto di vista qualitativo e in riferimento alla loro fonte.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Distinguere le diverse possibilità espressive della voce, di oggetti sonori e strumenti musicali, imparando ad ascoltare se stesso e gli altri.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ESECUZIONE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Articolare combinazioni timbriche, ritmiche e melodiche, applicando schemi elementari;  le esegue con la voce, il corpo e semplici strumenti.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Riconosce gli elementi costitutivi di un semplice brano musicale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99" w:right="11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Eseguire semplici canzoni ad una voce.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Percezione del silenzio.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2">
            <w:pPr>
              <w:tabs>
                <w:tab w:val="left" w:leader="none" w:pos="1155"/>
              </w:tabs>
              <w:ind w:left="147" w:right="241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Percezione delle differenze d’intensità nei suoni e rumori ambientali.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A">
            <w:pPr>
              <w:tabs>
                <w:tab w:val="left" w:leader="none" w:pos="949"/>
              </w:tabs>
              <w:ind w:left="147" w:right="241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Sonorità prodotte da oggetti di uso comune o da piccoli strumenti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 variazioni del timbro della voce.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delle voci umane.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voce “parlata” e voce “cantata”.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31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L’intensità della voce e del ritmo nella recitazione di filastrocche, scioglilingua, brevi dialoghi.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1"/>
              <w:ind w:left="147" w:right="241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 ritmo sia nell’esecuzione sia nell’ascolto di un  brano musIcale.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27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41" w:right="1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601" w:right="12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Ricercare e analizzare nell’ambiente rumori, suoni e silenzio.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601" w:right="12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le caratteristiche della voce umana.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241" w:right="12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241" w:right="1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ESECUZIONE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45"/>
              </w:tabs>
              <w:spacing w:after="0" w:before="0" w:line="240" w:lineRule="auto"/>
              <w:ind w:left="241" w:right="12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  <w:tab/>
              <w:t xml:space="preserve">Eseguire giochi musicali con l’uso del corpo e della voce.</w:t>
            </w:r>
          </w:p>
          <w:sdt>
            <w:sdtPr>
              <w:tag w:val="goog_rdk_1"/>
            </w:sdtPr>
            <w:sdtContent>
              <w:p w:rsidR="00000000" w:rsidDel="00000000" w:rsidP="00000000" w:rsidRDefault="00000000" w:rsidRPr="00000000" w14:paraId="00000081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ffffff" w:val="clear"/>
                  <w:tabs>
                    <w:tab w:val="left" w:leader="none" w:pos="345"/>
                  </w:tabs>
                  <w:spacing w:after="0" w:before="0" w:line="240" w:lineRule="auto"/>
                  <w:ind w:left="241" w:right="126" w:firstLine="0"/>
                  <w:jc w:val="left"/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PrChange w:author="Natascia Svigeli" w:id="0" w:date="2022-03-17T14:41:24Z">
                      <w:rPr>
                        <w:rFonts w:ascii="Calibri" w:cs="Calibri" w:eastAsia="Calibri" w:hAnsi="Calibri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szCs w:val="22"/>
                        <w:u w:val="none"/>
                        <w:shd w:fill="auto" w:val="clear"/>
                        <w:vertAlign w:val="baseline"/>
                      </w:rPr>
                    </w:rPrChange>
                  </w:rPr>
                </w:pPr>
                <w:bookmarkStart w:colFirst="0" w:colLast="0" w:name="_heading=h.gjdgxs" w:id="0"/>
                <w:bookmarkEnd w:id="0"/>
                <w:r w:rsidDel="00000000" w:rsidR="00000000" w:rsidRPr="00000000">
                  <w:rPr>
                    <w:rFonts w:ascii="Calibri" w:cs="Calibri" w:eastAsia="Calibri" w:hAnsi="Calibri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2.</w:t>
                  <w:tab/>
                  <w:t xml:space="preserve">Produrre suoni e ritmi con oggetti di uso comune e con piccoli strumenti.</w:t>
                </w:r>
                <w:sdt>
                  <w:sdtPr>
                    <w:tag w:val="goog_rdk_0"/>
                  </w:sdtPr>
                  <w:sdtContent>
                    <w:r w:rsidDel="00000000" w:rsidR="00000000" w:rsidRPr="00000000">
                      <w:rPr>
                        <w:rtl w:val="0"/>
                      </w:rPr>
                    </w:r>
                  </w:sdtContent>
                </w:sdt>
              </w:p>
            </w:sdtContent>
          </w:sdt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Prendendo come punto di partenza l’ascolto, le attività saranno mirate ad accrescere e potenziare la naturale disposizione sensoriale di ciascun alunno. Attraverso attività capaci di suscitare interesse e partecipazione, si guiderà il bambino nell’esplorazione della dimensione sonora per abituarlo a riflettere, a comprendere, ad operare, a produrre. Le attività saranno operative, predisposte per coinvolgere attivamente gli alunni e favorire un’acquisizione di tipo concreto. Si valorizzeranno l’attenzione, l’ascolto e l’attivazione di meccanismi operativi. Nelle attività che saranno proposte, attraverso l’uso della musica, si cercherà di favorire le esperienze di gruppo per creare occasioni socializzanti e per accrescere i sentimenti di appartenenza al gruppo classe. Gli alunni avranno possibilità anche di esprimersi attraverso movimenti del corpo in musica, con espressioni corporee libere o strutturate.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strumenti utilizzati saranno: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uso della voce,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uso del corpo,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uso di semplici strumenti a percussione,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utilizzo di CD e DVD musicali,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visione di filmati musicali estrapolati da internet,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273" w:right="13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utilizzo della LIM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 di gruppo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451.999999999998" w:type="dxa"/>
        <w:jc w:val="left"/>
        <w:tblInd w:w="-284.0" w:type="dxa"/>
        <w:tblLayout w:type="fixed"/>
        <w:tblLook w:val="0000"/>
      </w:tblPr>
      <w:tblGrid>
        <w:gridCol w:w="7143"/>
        <w:gridCol w:w="8309"/>
        <w:tblGridChange w:id="0">
          <w:tblGrid>
            <w:gridCol w:w="7143"/>
            <w:gridCol w:w="830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855"/>
              </w:tabs>
              <w:spacing w:after="0" w:before="0" w:line="240" w:lineRule="auto"/>
              <w:ind w:left="371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esprime con la voce e il corpo.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855"/>
              </w:tabs>
              <w:spacing w:after="0" w:before="0" w:line="240" w:lineRule="auto"/>
              <w:ind w:left="371" w:right="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Ascolta e discrimina diversi fenomeni sonori.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57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 semplici esecuzioni musicali o esecuzioni corali a commento di eventi prodotti a scuola (feste, mostre, ricorrenze, presentazioni…)</w:t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601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qFormat w:val="1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9121E3"/>
    <w:pPr>
      <w:widowControl w:val="1"/>
      <w:autoSpaceDE w:val="0"/>
      <w:adjustRightInd w:val="0"/>
      <w:textAlignment w:val="auto"/>
    </w:pPr>
    <w:rPr>
      <w:rFonts w:ascii="Calibri" w:cs="Calibri" w:hAnsi="Calibri"/>
      <w:color w:val="000000"/>
      <w:kern w:val="0"/>
      <w:lang w:bidi="ar-SA"/>
    </w:rPr>
  </w:style>
  <w:style w:type="numbering" w:styleId="WWNum4" w:customStyle="1">
    <w:name w:val="WWNum4"/>
    <w:basedOn w:val="Nessunelenco"/>
    <w:rsid w:val="00FC2C09"/>
    <w:pPr>
      <w:numPr>
        <w:numId w:val="8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Dg7SvBs+07DqHm+0uqFUdnqpVw==">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2021-11-22T17:03:00Z</dcterms:created>
  <dc:creator>Laura</dc:creator>
</cp:coreProperties>
</file>